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2" w:beforeLines="50" w:line="360" w:lineRule="auto"/>
        <w:jc w:val="right"/>
        <w:textAlignment w:val="auto"/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JH20230504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1" w:beforeLines="100" w:after="321" w:afterLines="100" w:line="360" w:lineRule="auto"/>
        <w:jc w:val="center"/>
        <w:rPr>
          <w:rFonts w:hint="eastAsia" w:ascii="仿宋" w:hAnsi="仿宋" w:eastAsia="仿宋" w:cs="仿宋"/>
          <w:b/>
          <w:color w:val="auto"/>
          <w:sz w:val="52"/>
          <w:szCs w:val="5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52"/>
          <w:szCs w:val="52"/>
          <w:highlight w:val="none"/>
        </w:rPr>
        <w:t>青岛特殊钢铁有限公司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1" w:beforeLines="100" w:after="321" w:afterLines="100" w:line="360" w:lineRule="auto"/>
        <w:jc w:val="center"/>
        <w:rPr>
          <w:rFonts w:hint="eastAsia" w:ascii="仿宋" w:hAnsi="仿宋" w:eastAsia="仿宋" w:cs="仿宋"/>
          <w:b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  <w:highlight w:val="none"/>
        </w:rPr>
        <w:t>焦化厂高压变频专业检测和维护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1" w:beforeLines="100" w:after="321" w:afterLines="100" w:line="360" w:lineRule="auto"/>
        <w:jc w:val="center"/>
        <w:rPr>
          <w:rFonts w:hint="eastAsia" w:ascii="仿宋" w:hAnsi="仿宋" w:eastAsia="仿宋" w:cs="仿宋"/>
          <w:b/>
          <w:color w:val="auto"/>
          <w:sz w:val="84"/>
          <w:szCs w:val="8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84"/>
          <w:szCs w:val="84"/>
          <w:highlight w:val="none"/>
        </w:rPr>
        <w:t>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1" w:beforeLines="100" w:after="321" w:afterLines="100" w:line="360" w:lineRule="auto"/>
        <w:jc w:val="center"/>
        <w:rPr>
          <w:rFonts w:hint="eastAsia" w:ascii="仿宋" w:hAnsi="仿宋" w:eastAsia="仿宋" w:cs="仿宋"/>
          <w:b/>
          <w:color w:val="auto"/>
          <w:sz w:val="84"/>
          <w:szCs w:val="8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84"/>
          <w:szCs w:val="84"/>
          <w:highlight w:val="none"/>
        </w:rPr>
        <w:t>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1" w:beforeLines="100" w:after="321" w:afterLines="100" w:line="360" w:lineRule="auto"/>
        <w:jc w:val="center"/>
        <w:rPr>
          <w:rFonts w:hint="eastAsia" w:ascii="仿宋" w:hAnsi="仿宋" w:eastAsia="仿宋" w:cs="仿宋"/>
          <w:b/>
          <w:color w:val="auto"/>
          <w:sz w:val="84"/>
          <w:szCs w:val="8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84"/>
          <w:szCs w:val="84"/>
          <w:highlight w:val="none"/>
        </w:rPr>
        <w:t>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1" w:beforeLines="100" w:after="321" w:afterLines="100" w:line="360" w:lineRule="auto"/>
        <w:jc w:val="center"/>
        <w:rPr>
          <w:rFonts w:hint="eastAsia" w:ascii="仿宋" w:hAnsi="仿宋" w:eastAsia="仿宋" w:cs="仿宋"/>
          <w:b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84"/>
          <w:szCs w:val="84"/>
          <w:highlight w:val="none"/>
        </w:rPr>
        <w:t>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bookmarkStart w:id="0" w:name="_Toc488412620"/>
      <w:bookmarkStart w:id="1" w:name="_Toc7724"/>
      <w:bookmarkStart w:id="2" w:name="_Toc400623330"/>
      <w:bookmarkStart w:id="3" w:name="_Toc31816"/>
      <w:bookmarkStart w:id="4" w:name="_Toc400893350"/>
      <w:bookmarkStart w:id="5" w:name="_Toc23827"/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青岛特殊钢铁有限公司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 xml:space="preserve">年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 xml:space="preserve">月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sz w:val="40"/>
          <w:highlight w:val="none"/>
        </w:rPr>
      </w:pPr>
    </w:p>
    <w:bookmarkEnd w:id="0"/>
    <w:bookmarkEnd w:id="1"/>
    <w:bookmarkEnd w:id="2"/>
    <w:bookmarkEnd w:id="3"/>
    <w:bookmarkEnd w:id="4"/>
    <w:bookmarkEnd w:id="5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10"/>
          <w:szCs w:val="10"/>
          <w:highlight w:val="none"/>
        </w:rPr>
      </w:pPr>
      <w:bookmarkStart w:id="6" w:name="_Toc24418"/>
    </w:p>
    <w:bookmarkEnd w:id="6"/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bookmarkStart w:id="7" w:name="_Toc27640"/>
      <w:bookmarkStart w:id="8" w:name="_Toc28019"/>
      <w:bookmarkStart w:id="9" w:name="_Toc23996"/>
      <w:bookmarkStart w:id="10" w:name="_Toc4051"/>
      <w:bookmarkStart w:id="11" w:name="_Toc30573"/>
      <w:bookmarkStart w:id="12" w:name="_Toc520117021"/>
      <w:bookmarkStart w:id="13" w:name="_Toc15793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焦化厂高压变频专业检测和维护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协议的主体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甲  方：青岛特殊钢铁有限公司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乙  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孙灵乾/杜福君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电  话：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0532-58815603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电  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7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甲乙双方就青岛特殊钢铁有限公司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焦化厂高压变频专业检测和维护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及现场服务事宜所涉及的技术问题进行了充分协商，达成共识，形成以下条款：本方案的使用范围仅限于青岛特殊钢铁有限公司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焦化厂高压变频专业检测和维护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三、项目范围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焦化厂7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套10kV变频器，明细如下：</w:t>
      </w:r>
    </w:p>
    <w:tbl>
      <w:tblPr>
        <w:tblStyle w:val="6"/>
        <w:tblW w:w="4819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8"/>
        <w:gridCol w:w="1418"/>
        <w:gridCol w:w="1057"/>
        <w:gridCol w:w="1509"/>
        <w:gridCol w:w="1908"/>
        <w:gridCol w:w="1603"/>
        <w:gridCol w:w="7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18"/>
                <w:szCs w:val="18"/>
                <w:highlight w:val="none"/>
              </w:rPr>
              <w:t>设备名称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变频器品牌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18"/>
                <w:szCs w:val="18"/>
                <w:highlight w:val="none"/>
              </w:rPr>
              <w:t>序列号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18"/>
                <w:szCs w:val="18"/>
                <w:highlight w:val="none"/>
              </w:rPr>
              <w:t>规格型号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18"/>
                <w:szCs w:val="18"/>
                <w:highlight w:val="none"/>
              </w:rPr>
              <w:t>主要参数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18"/>
                <w:szCs w:val="18"/>
                <w:highlight w:val="none"/>
              </w:rPr>
              <w:t>电机功率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B1O1皮带变频器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西门子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Z8-144043802-064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6SR4502-5MB38-7BF1-Z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10000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v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、3PH、50HZ、50A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630KW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出焦除尘风机变频器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西门子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Z8-144043802-062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6SR4502-5MB41-2BF1-Z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10000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v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、3PH、50HZ、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70A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1000KW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装煤除尘风机变频器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西门子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Z8-144043801-063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6SR4502-5MA34-5BF1-Z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10000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v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、3PH、50HZ、25A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355KW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干熄焦除尘风机变频器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西门子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Z8-151843802-150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6SR4502-5MB38-0BF1-Z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10000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v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、3PH、50HZ、44A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630KW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干熄焦循环风机变频器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西门子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Z8-151840805-149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6SR4502-5ME43-7BF0-Z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10000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v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、3PH、50HZ、190A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2700KW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1#煤气鼓风机变频器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安川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1LS3P228-00100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CIMR-MV2BH5HD100E1AA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11000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v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、3PH、50HZ、100A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1400KW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2#煤气鼓风机变频器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安川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1LS3P228-00200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CIMR-MV2BH5HD100E1AA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11000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v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、3PH、50HZ、100A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1400KW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473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备注：强制更换要求：由于功率单元内电容器寿命已到，要求更换所有单元内电容器。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四、维护内容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4.1预防性维护内容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0" w:firstLineChars="50"/>
        <w:jc w:val="left"/>
        <w:outlineLvl w:val="2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14" w:name="_Toc406594917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4.1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.1控制柜</w:t>
      </w:r>
      <w:bookmarkEnd w:id="1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主控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箱全面清理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及检测，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每个电源模块输出电压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校正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及带载检测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IO端子柜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检查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并清洁所有开关，接触器及继电器等部件接线牢固，表面干净无灰尘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开关信号，模拟信号，通讯信号，模拟测试及精度校正。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主控柜内IO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端子排接线紧固检查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确保无松动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UPS检查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测试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，电池容量测试；</w:t>
      </w:r>
    </w:p>
    <w:p>
      <w:pPr>
        <w:pStyle w:val="2"/>
        <w:rPr>
          <w:rFonts w:hint="default" w:eastAsia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乙方需提供操作屏(型号A5EO2624585)1台并将循环风机操作屏进行更换。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41" w:leftChars="67"/>
        <w:jc w:val="left"/>
        <w:outlineLvl w:val="2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15" w:name="_Toc406594918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4.1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.2 功率柜</w:t>
      </w:r>
      <w:bookmarkEnd w:id="1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60" w:firstLineChars="67"/>
        <w:jc w:val="left"/>
        <w:rPr>
          <w:rFonts w:hint="eastAsia" w:ascii="仿宋" w:hAnsi="仿宋" w:eastAsia="仿宋" w:cs="仿宋"/>
          <w:highlight w:val="none"/>
          <w:shd w:val="clear" w:fill="FFFF0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功率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单元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测试及检查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①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单元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内部及散热片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清灰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除尘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，电路板清洗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②单元控制板及驱动板检测，驱动电路波形检测，电源模块输出电压检测及带载能力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测试。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③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更换功率单元内所有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1080块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电容器。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抽检电容器做耐压试验且出具报告，电容参数不得低于原数据，西门子变频器选用南通江海电容器股份有限公司品牌，安川变频器选用原厂NIPPON CHEMI-CON黑金刚品牌。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④每个单元内电容分压容量保持一致，串联并联精度要求±10%，整机内所有功率单元内电容总容量精度要求误差±10%。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⑤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功率器件的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性能及稳定性检测及测试，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使用单元测试仪和调压器测试功率单元的特性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⑥对每个功率单元上电测试，保证功率单元状态完好。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⑦对整机每根在用光纤进行光损测试，光损不合格的予以更换。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⑧对每个功率单元内主回路检查及测试紧固。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⑨单独触发测试每个功率单元指标是否合格，其中包含IGBT导通性，三相整流桥整流一致性，单元输出电压，电流，频率，测试及校正。</w:t>
      </w:r>
    </w:p>
    <w:p>
      <w:pPr>
        <w:pStyle w:val="2"/>
        <w:ind w:firstLine="480" w:firstLineChars="200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⑩甲方24个备用功率单元检测（仅检测并出具报告）。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60" w:firstLineChars="67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功率柜体检查测试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FF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①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柜门行程开关检查，开关应稳定可靠；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柜内温度检测模块测试；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③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柜顶风机（包括开关或电机启动器）检查测试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循环风机变频器柜顶风机改造为冗余风机，同一柜顶1个风机损坏时只报警不停机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；</w:t>
      </w:r>
    </w:p>
    <w:p>
      <w:pPr>
        <w:pStyle w:val="2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④所有变频器柜体过滤棉更换，过滤棉过滤能力不低于40ppm。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需更换电容器明细如下：</w:t>
      </w:r>
    </w:p>
    <w:tbl>
      <w:tblPr>
        <w:tblStyle w:val="6"/>
        <w:tblpPr w:leftFromText="180" w:rightFromText="180" w:vertAnchor="text" w:horzAnchor="page" w:tblpX="1504" w:tblpY="445"/>
        <w:tblOverlap w:val="never"/>
        <w:tblW w:w="97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1282"/>
        <w:gridCol w:w="1718"/>
        <w:gridCol w:w="641"/>
        <w:gridCol w:w="859"/>
        <w:gridCol w:w="1378"/>
        <w:gridCol w:w="1581"/>
        <w:gridCol w:w="860"/>
        <w:gridCol w:w="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功率单元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品 牌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电容型号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电容规格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功率单元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电容数量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变频器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电容总数量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B101皮带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6SR4502-5MB38-7BF1-Z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EPCOS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B43456-S5568-M3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450v，5600μF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（M），85℃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出焦除尘风机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6SR4502-5MB41-2BFI-Z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EPCOS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B43456-S5568-M3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450v，5600μF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（M），85℃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装煤除尘风机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6SR4502-5MA34-5BF1-Z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江海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CD138S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450v</w:t>
            </w:r>
            <w:r>
              <w:rPr>
                <w:rStyle w:val="10"/>
                <w:sz w:val="15"/>
                <w:szCs w:val="15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5600μF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，85℃，+postive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干熄焦除尘风机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6SR4502-5MB38-5BF1-Z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EPCOS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B43456-S5568-M3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450v，5600μF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（M），85℃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干熄焦循环风机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6SR4502-5ME43-7BF0-Z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EPCOS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  <w:lang w:val="en-US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B43456-S5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109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-M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450v</w:t>
            </w:r>
            <w:r>
              <w:rPr>
                <w:rStyle w:val="10"/>
                <w:sz w:val="15"/>
                <w:szCs w:val="15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00μF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（M），85℃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1#煤气鼓风机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CIMR-MV2BH5HD1OQE1AA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NIPPONCHEMI-CON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黑金刚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CE 105℃ 350v 31BT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350v，6300μF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,105℃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2#煤气鼓风机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CIMR-MV2BH5HD100E1AA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NIPPONCHEMI-CON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黑金刚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CE 105℃ 350v 31BT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350v</w:t>
            </w:r>
            <w:r>
              <w:rPr>
                <w:rStyle w:val="10"/>
                <w:sz w:val="15"/>
                <w:szCs w:val="15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6300μF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，105℃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</w:t>
            </w:r>
          </w:p>
        </w:tc>
      </w:tr>
    </w:tbl>
    <w:p>
      <w:pPr>
        <w:pStyle w:val="2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bookmarkStart w:id="16" w:name="_Toc406594919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4.1.3 变压器柜</w:t>
      </w:r>
      <w:bookmarkEnd w:id="1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（1）变压器一二次接线检查，查看线圈及接线端子有无松动及变色；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（2）变压器柜底风机检查，分压电阻清灰及阻值检查，限压板检查清理；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柜顶风机（包括开关或电机启动器）检查测试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维护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4.1.4  完成PLC及触摸屏程序和画面备份，并进行变频参数备份；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4.1.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对变频器使用的参数和故障记录进行调取，对历史故障记录和当前运行的状况进行对比分析，根据分析结果，提供改善的建议措施。并对处理后的设备再次测量确认。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4.2预防性维护报告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实现本协议维护内容，保障高压变频器整体性能，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包括但不限于如下维护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表格：</w:t>
      </w:r>
    </w:p>
    <w:tbl>
      <w:tblPr>
        <w:tblStyle w:val="6"/>
        <w:tblpPr w:leftFromText="180" w:rightFromText="180" w:vertAnchor="text" w:tblpX="216" w:tblpY="1"/>
        <w:tblOverlap w:val="never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125"/>
        <w:gridCol w:w="1104"/>
        <w:gridCol w:w="2550"/>
        <w:gridCol w:w="736"/>
        <w:gridCol w:w="86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项目</w:t>
            </w:r>
          </w:p>
        </w:tc>
        <w:tc>
          <w:tcPr>
            <w:tcW w:w="3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维  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内  容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标准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检测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结果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是否需要处理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处理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899" w:type="dxa"/>
            <w:vMerge w:val="restart"/>
            <w:noWrap w:val="0"/>
            <w:textDirection w:val="tbRlV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bookmarkStart w:id="17" w:name="_Toc389666970"/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控制柜</w:t>
            </w:r>
            <w:bookmarkEnd w:id="17"/>
          </w:p>
        </w:tc>
        <w:tc>
          <w:tcPr>
            <w:tcW w:w="3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主控板、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IO板、通讯板及触摸屏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清灰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除尘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器件表面清洁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89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主控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板与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人机界面之间的通讯检测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通讯正常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89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主控箱输入、输出、模拟量点的检测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对应线性平滑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主控箱与光纤通讯板之间测试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通讯可靠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89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开关电源检查测试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输出电压误差允许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交直流双电源切换测试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切换正常无停机现象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89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开关量、模拟量模块检查测试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开关量正确，模拟量平滑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89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人机界面监控软件升级、参数备份及优化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参数设置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检查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899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功率单元柜</w:t>
            </w:r>
          </w:p>
        </w:tc>
        <w:tc>
          <w:tcPr>
            <w:tcW w:w="3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滤网及柜体清灰处理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柜内清洁无灰尘，滤网更换（滤网备件乙供）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功率模块R/S/T端输入电缆的检查及绝缘测试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绝缘合格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89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FF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单元控制板、驱动板、吸收板进行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清灰除尘及防护、焊点检查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检测合格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89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功率单元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输出检测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输出正常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89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功率单元充电测试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预充电正常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89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电容器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功率单元内电容器更换并检测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89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-73" w:right="-211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功率模块、电解电容外观检查及容值测量；</w:t>
            </w:r>
          </w:p>
          <w:p>
            <w:pPr>
              <w:keepNext w:val="0"/>
              <w:keepLines w:val="0"/>
              <w:pageBreakBefore w:val="0"/>
              <w:tabs>
                <w:tab w:val="left" w:pos="13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69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整流桥、可控硅、IGBT、旁路桥耐压测试；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通讯故障检测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通讯故障报警功能应正常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89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欠压故障测试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欠压故障报警功能应正常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89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过压故障测试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过压故障报警功能应正常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89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模块U/V输出波形测试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波形正常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89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直流母线电压检测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直流母线电压允许范围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89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耐压测试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在规格要求内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89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单元清洗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所有功率单元内部清洗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89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功率柜柜顶风机检查及测试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风机运转灵活，风速适当，振动范围允许，运行电流允许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899" w:type="dxa"/>
            <w:vMerge w:val="restart"/>
            <w:noWrap w:val="0"/>
            <w:textDirection w:val="tbRlV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bookmarkStart w:id="18" w:name="_Toc389666972"/>
          </w:p>
          <w:bookmarkEnd w:id="18"/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变压器柜</w:t>
            </w:r>
          </w:p>
        </w:tc>
        <w:tc>
          <w:tcPr>
            <w:tcW w:w="3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变压器清灰及干燥处理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清洁干燥绝缘合格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变压器柜体及滤网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柜内清洁无导电性灰尘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滤网更换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</w:trPr>
        <w:tc>
          <w:tcPr>
            <w:tcW w:w="89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变压器柜柜底及柜顶风机检查及测试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风机运转灵活，振动范围允许，运行电流允许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</w:trPr>
        <w:tc>
          <w:tcPr>
            <w:tcW w:w="89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电流互感器检查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接线可靠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89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限压板检查及测试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接线可靠，清洁干燥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99" w:type="dxa"/>
            <w:vMerge w:val="restart"/>
            <w:noWrap w:val="0"/>
            <w:textDirection w:val="tbRlV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bookmarkStart w:id="19" w:name="_Toc389666975"/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上电测试</w:t>
            </w:r>
            <w:bookmarkEnd w:id="19"/>
          </w:p>
        </w:tc>
        <w:tc>
          <w:tcPr>
            <w:tcW w:w="3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上控制电模拟测试</w:t>
            </w:r>
          </w:p>
        </w:tc>
        <w:tc>
          <w:tcPr>
            <w:tcW w:w="49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9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上高压电空载测试</w:t>
            </w:r>
          </w:p>
        </w:tc>
        <w:tc>
          <w:tcPr>
            <w:tcW w:w="49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89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上高压电带电机测试</w:t>
            </w:r>
          </w:p>
        </w:tc>
        <w:tc>
          <w:tcPr>
            <w:tcW w:w="49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89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上高压电带负载测试</w:t>
            </w:r>
          </w:p>
        </w:tc>
        <w:tc>
          <w:tcPr>
            <w:tcW w:w="49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注：变频器维护后提供检测数据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4.3 乙方更换变频器配件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、材料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应选用品牌质量合格的元件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材料与部件，符合此变频器的备件安装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工况、尺寸、规格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4.4对维修前未缺失的部件，维修后出现丢失或损坏的，乙方应当无偿予以补齐。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4.5乙方变频器专业技术人员应完成变频器元件的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装，进行变频器整体检测和调试，并配合上电投运；调试和投运时间根据甲方生产安排。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4.6其他技术方面的要求，乙方按照变频器检修、检验行业规范执行。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4.7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提供现场技术指导和不低于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1天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的软硬件测试维护技能培训。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4.8乙方投标前需确认维修内容，并对现场设备（特别是电容参数）、检修维护时间安排充分了解，投标后发生的额外维修内容不能追加维修费用。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4.9需西门子厂家技术人员现场指导安装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调试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4.10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对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7台高压变频进行电机自学习动态识别。</w:t>
      </w:r>
      <w:bookmarkStart w:id="20" w:name="_GoBack"/>
      <w:bookmarkEnd w:id="2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4.11本协议中未明确甲供的备件及材料均由乙方提供。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五、计划、进度、期限、交货地点和方式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乙方需于合同签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定后，施工前提前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熟悉现场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甲方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通知为准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绝对工期45天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施工所需材料、工器具、人员等运输由乙方全程负责。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乙方需在甲方确定好整机停机时间后，提前1日到达现场，每台变频器维护工作须在甲方要求的时间内全部完成 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应充分考虑甲方连续生产的工况，每台变频器分多次进行维保，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具体维保工作时间须遵循甲方协调的停机时间为准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其中干熄焦循环风机变频器、干熄焦除尘风机变频器利用干熄焦年修期间进行维护，鼓风机变频器备机倒换后进行维护，其余变频器采取利用检修时间轮流倒换功率单元的方式进行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六、验收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工程验收按照合同、技术协议、有关图纸技术文件及标准规范规定进行验收，包括实物和资料验收。验收资料包括：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西门子品牌的变频器需提供西门子原厂家的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变频器维护报告、元器件检测数据、软件程序备份及易损件建议更换时间表、检验证书等。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乙方对其维护后的设备质量和可靠性负责。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七、质保保证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7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工程完成验收之日起主体设备正常使用寿命＞1年，乙方对产品质量负责。质保期内厂家提供现场无偿技术服务，维护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更换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后的元器件在质保期内损坏，乙方提供原厂备件和免费维修。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八、保证及索赔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乙方已清楚所供产品的使用环境及工况，并确保维护后的设备能够满足甲方现场使用要求。在甲方按照使用说明书的规定，在正确的使用产品的情况下，质保期自甲方现场系统验收合格之日计起开始计算，质保期一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如在质保期内，正常使用过程中，因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检查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维护质量问题造成的一切损失由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乙方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承担。当设备因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检查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维护质量问题而损坏或不能正常工作时，乙方应无偿的为用户进行免费检查、修理或更换零件，质保期由更换之日起重新计算，时间仍为一年；若造成甲方事故，乙方须承担相应的经济责任。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乙方在提供每周7×24小时维修服务（含任何节假日），若本合同项下产品出现质量问题或其他需维修的问题，乙方均应于接到甲方通知后在3小时内用电话、传真给予尽量详细的答复，当需要技术工程师前往现场修理、调试时，技术工程师在24抵达甲方现场，与甲方制定解决方案，24小时内解决问题。如乙方未能按上述时限到场解决问题，每迟延1小时按造成损失的1‰向甲方支付逾期违约金；并且，甲方有权自行维修或委托第三方维修，所发生的费用（乙方放弃对该费用提出异议的权利）由乙方承担，甲方人有权从货款中扣除，不足部分甲方有权要求乙方限期补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九、解决争议的办法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在执行过程中如存在未尽事宜，应由双方友好协商解决，若存在争议，15日协商不成，按商务合同通过法律途径解决。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十、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甲、乙双方都有为对方保守生产、技术及资料秘密的义务，不得以任何理由向第三方泄露，否则违约方应承担相应的责任。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本协议一式四份，甲方三份，乙方一份，本协议是商务合同不可分割的一部分，与商务合同具有同等法律效力。甲乙双方代表签字后与商务合同同时生效。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以下无正文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 xml:space="preserve">甲    方：青岛特殊钢铁有限公司 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乙    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 xml:space="preserve">           （盖章）                            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 xml:space="preserve">甲方代表：                      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乙方代表：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 xml:space="preserve">日    期：                      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日    期：</w:t>
      </w:r>
      <w:bookmarkEnd w:id="7"/>
      <w:bookmarkEnd w:id="8"/>
      <w:bookmarkEnd w:id="9"/>
      <w:bookmarkEnd w:id="10"/>
      <w:bookmarkEnd w:id="11"/>
      <w:bookmarkEnd w:id="12"/>
      <w:bookmarkEnd w:id="13"/>
    </w:p>
    <w:p>
      <w:pPr>
        <w:rPr>
          <w:rFonts w:hint="eastAsia" w:ascii="仿宋" w:hAnsi="仿宋" w:eastAsia="仿宋" w:cs="仿宋"/>
        </w:rPr>
      </w:pPr>
    </w:p>
    <w:sectPr>
      <w:headerReference r:id="rId3" w:type="default"/>
      <w:footerReference r:id="rId4" w:type="default"/>
      <w:pgSz w:w="11849" w:h="16781"/>
      <w:pgMar w:top="1327" w:right="1417" w:bottom="1327" w:left="1417" w:header="720" w:footer="720" w:gutter="0"/>
      <w:pgNumType w:fmt="numberInDash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地址:中国青岛市黄岛区集成路1886号   邮编:266409   电话:+86-532-58815030   网址:www.qdsteel.com</w:t>
    </w:r>
  </w:p>
  <w:p>
    <w:pPr>
      <w:pStyle w:val="4"/>
      <w:jc w:val="center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6"/>
      </w:pBdr>
    </w:pPr>
    <w:r>
      <w:drawing>
        <wp:inline distT="0" distB="0" distL="114300" distR="114300">
          <wp:extent cx="2172970" cy="354330"/>
          <wp:effectExtent l="0" t="0" r="17780" b="762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2970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57CB2"/>
    <w:multiLevelType w:val="singleLevel"/>
    <w:tmpl w:val="57C57CB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OTgwZWYwMjYyYmE1N2U2NjJlYmM2NjljZTRmY2QifQ=="/>
  </w:docVars>
  <w:rsids>
    <w:rsidRoot w:val="00000000"/>
    <w:rsid w:val="015F4A74"/>
    <w:rsid w:val="0A817BD4"/>
    <w:rsid w:val="0CC60C25"/>
    <w:rsid w:val="0DAC4375"/>
    <w:rsid w:val="0E92378A"/>
    <w:rsid w:val="11D7013B"/>
    <w:rsid w:val="12017C6D"/>
    <w:rsid w:val="126715FD"/>
    <w:rsid w:val="12C05AD3"/>
    <w:rsid w:val="178A58AF"/>
    <w:rsid w:val="17FD24FB"/>
    <w:rsid w:val="196176A3"/>
    <w:rsid w:val="1B851256"/>
    <w:rsid w:val="1C1B0675"/>
    <w:rsid w:val="1D6E7125"/>
    <w:rsid w:val="1EA6355E"/>
    <w:rsid w:val="250D28BF"/>
    <w:rsid w:val="2539249C"/>
    <w:rsid w:val="25CB5F9C"/>
    <w:rsid w:val="2719377F"/>
    <w:rsid w:val="276B56D3"/>
    <w:rsid w:val="28EC2F6B"/>
    <w:rsid w:val="29106877"/>
    <w:rsid w:val="2B0A3218"/>
    <w:rsid w:val="317C792C"/>
    <w:rsid w:val="324804C9"/>
    <w:rsid w:val="3BB53F4D"/>
    <w:rsid w:val="41453A09"/>
    <w:rsid w:val="432572F5"/>
    <w:rsid w:val="447048F7"/>
    <w:rsid w:val="473050E7"/>
    <w:rsid w:val="4C9143D2"/>
    <w:rsid w:val="4E6F5BA8"/>
    <w:rsid w:val="4E720D3F"/>
    <w:rsid w:val="4F172623"/>
    <w:rsid w:val="4F4246BC"/>
    <w:rsid w:val="569C0B56"/>
    <w:rsid w:val="58861056"/>
    <w:rsid w:val="58C80E5A"/>
    <w:rsid w:val="59F111B9"/>
    <w:rsid w:val="5DE90917"/>
    <w:rsid w:val="5EFA0A2D"/>
    <w:rsid w:val="5FE74052"/>
    <w:rsid w:val="60B44E2E"/>
    <w:rsid w:val="61112140"/>
    <w:rsid w:val="65E04C6C"/>
    <w:rsid w:val="6A806E3D"/>
    <w:rsid w:val="6B040620"/>
    <w:rsid w:val="6B1B7F47"/>
    <w:rsid w:val="6C670AF9"/>
    <w:rsid w:val="6DDF0E7C"/>
    <w:rsid w:val="75115347"/>
    <w:rsid w:val="755637F0"/>
    <w:rsid w:val="76FF2BA9"/>
    <w:rsid w:val="7EAE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line="360" w:lineRule="auto"/>
      <w:outlineLvl w:val="1"/>
    </w:pPr>
    <w:rPr>
      <w:rFonts w:ascii="Cambria" w:hAnsi="Cambria"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kern w:val="0"/>
      <w:sz w:val="18"/>
      <w:szCs w:val="18"/>
    </w:rPr>
  </w:style>
  <w:style w:type="character" w:styleId="8">
    <w:name w:val="page number"/>
    <w:qFormat/>
    <w:uiPriority w:val="0"/>
  </w:style>
  <w:style w:type="character" w:styleId="9">
    <w:name w:val="Hyperlink"/>
    <w:qFormat/>
    <w:uiPriority w:val="0"/>
    <w:rPr>
      <w:color w:val="333333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3860</Words>
  <Characters>4709</Characters>
  <Lines>0</Lines>
  <Paragraphs>0</Paragraphs>
  <TotalTime>184</TotalTime>
  <ScaleCrop>false</ScaleCrop>
  <LinksUpToDate>false</LinksUpToDate>
  <CharactersWithSpaces>4923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2022-03-31T04:50:00Z</dcterms:created>
  <dc:creator>Administrator</dc:creator>
  <cp:lastModifiedBy>Lenove</cp:lastModifiedBy>
  <cp:lastPrinted>2023-06-19T08:08:15Z</cp:lastPrinted>
  <dcterms:modified xsi:type="dcterms:W3CDTF">2023-06-19T08:38:02Z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709C403CC48C42DABF8BE7A2C0C27B4C_13</vt:lpwstr>
  </property>
</Properties>
</file>